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319AD">
      <w:pPr>
        <w:pStyle w:val="3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jc w:val="center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404040"/>
          <w:spacing w:val="0"/>
          <w:sz w:val="36"/>
          <w:szCs w:val="36"/>
        </w:rPr>
      </w:pPr>
      <w:bookmarkStart w:id="0" w:name="_GoBack"/>
      <w:r>
        <w:rPr>
          <w:rStyle w:val="9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404040"/>
          <w:spacing w:val="0"/>
          <w:sz w:val="36"/>
          <w:szCs w:val="36"/>
          <w:shd w:val="clear" w:fill="FFFFFF"/>
        </w:rPr>
        <w:t>泰山外国语学校实验室安全事故应急预案</w:t>
      </w:r>
    </w:p>
    <w:bookmarkEnd w:id="0"/>
    <w:p w14:paraId="175823E1">
      <w:pPr>
        <w:pStyle w:val="4"/>
        <w:keepNext w:val="0"/>
        <w:keepLines w:val="0"/>
        <w:widowControl/>
        <w:suppressLineNumbers w:val="0"/>
        <w:shd w:val="clear" w:fill="FFFFFF"/>
        <w:ind w:left="0" w:firstLine="0"/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AE5C1AE">
      <w:pPr>
        <w:pStyle w:val="4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一、总则</w:t>
      </w:r>
    </w:p>
    <w:p w14:paraId="23D2C946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</w:pPr>
      <w:r>
        <w:rPr>
          <w:rFonts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1.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编制目的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规范实验室安全事故应急响应程序，最大限度减少人员伤亡、财产损失及环境危害，保障教学秩序恢复。</w:t>
      </w:r>
    </w:p>
    <w:p w14:paraId="55835EB5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</w:pPr>
      <w:r>
        <w:rPr>
          <w:rFonts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2.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适用范围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理化生实验室发生的火灾、爆炸、化学品泄漏、生物污染、触电、机械伤害、灼烫等突发事件。</w:t>
      </w:r>
    </w:p>
    <w:p w14:paraId="34C8BA1E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right="0"/>
      </w:pPr>
      <w:r>
        <w:rPr>
          <w:rStyle w:val="9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工作原则</w:t>
      </w:r>
    </w:p>
    <w:p w14:paraId="79B1EBB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生命至上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：优先保障师生生命安全</w:t>
      </w:r>
    </w:p>
    <w:p w14:paraId="7A5A24A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快速响应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：分级处置，黄金时间高效联动</w:t>
      </w:r>
    </w:p>
    <w:p w14:paraId="31F95AF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科学施救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：禁止盲目冒险作业</w:t>
      </w:r>
    </w:p>
    <w:p w14:paraId="4E17E9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48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pict>
          <v:rect id="_x0000_i1025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85FC455">
      <w:pPr>
        <w:pStyle w:val="4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二、应急组织机构及职责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2721"/>
        <w:gridCol w:w="4775"/>
      </w:tblGrid>
      <w:tr w14:paraId="57E72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1A60ED8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884D21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人员构成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7F4023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核心职责</w:t>
            </w:r>
          </w:p>
        </w:tc>
      </w:tr>
      <w:tr w14:paraId="32162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3CCEF37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应急指挥部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5B5EA2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校长（总指挥）、分管副校长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F79371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启动/终止预案，调配全校资源，对外信息发布</w:t>
            </w:r>
          </w:p>
        </w:tc>
      </w:tr>
      <w:tr w14:paraId="7183D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68B409E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现场指挥组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A6D87E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实验室安全总负责人、安保处主任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4C5676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控制事故现场，指挥救援行动，向指挥部实时报告</w:t>
            </w:r>
          </w:p>
        </w:tc>
      </w:tr>
      <w:tr w14:paraId="0DB96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40F9FC7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抢险救援组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752848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实验室管理员、校医、物理教师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4EB181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实施灭火、堵漏、伤员抢救、危险源隔离</w:t>
            </w:r>
          </w:p>
        </w:tc>
      </w:tr>
      <w:tr w14:paraId="396F3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48FF36F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疏散警戒组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5A6ED1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班主任、保安队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C427F1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引导师生疏散至安全区（操场），设置警戒线，禁止无关人员进入</w:t>
            </w:r>
          </w:p>
        </w:tc>
      </w:tr>
      <w:tr w14:paraId="633CD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554DC6F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后勤保障组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B25568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总务处、信息中心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3899A4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提供应急物资（沙土、中和剂）、车辆调度、通讯保障、设备抢修</w:t>
            </w:r>
          </w:p>
        </w:tc>
      </w:tr>
    </w:tbl>
    <w:p w14:paraId="73829C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48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sz w:val="24"/>
          <w:szCs w:val="24"/>
        </w:rPr>
        <w:pict>
          <v:rect id="_x0000_i1026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A85FADA">
      <w:pPr>
        <w:pStyle w:val="4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三、事故分级与响应机制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6"/>
        <w:gridCol w:w="4150"/>
        <w:gridCol w:w="2390"/>
      </w:tblGrid>
      <w:tr w14:paraId="5DEDA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4E9933C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事故等级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CF4866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判定标准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7D0C73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响应措施</w:t>
            </w:r>
          </w:p>
        </w:tc>
      </w:tr>
      <w:tr w14:paraId="5ABB6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1F0FAE8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Ⅰ级（重大）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C90839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人员重伤/死亡、大面积泄漏、火灾蔓延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E40774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 立即报119/120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 启动全校疏散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 政府联动</w:t>
            </w:r>
          </w:p>
        </w:tc>
      </w:tr>
      <w:tr w14:paraId="26306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294EA93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Ⅱ级（较大）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B63C91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人员轻伤、局部泄漏可控、小型火灾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7C7033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 现场指挥组处置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 封锁事故区域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 校医支援</w:t>
            </w:r>
          </w:p>
        </w:tc>
      </w:tr>
      <w:tr w14:paraId="3BDC3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02290F3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Ⅲ级（一般）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18C2C7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轻微割伤、试剂瓶破碎无泄漏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1D9AE9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 实验教师自主处理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 管理员备案</w:t>
            </w:r>
          </w:p>
        </w:tc>
      </w:tr>
    </w:tbl>
    <w:p w14:paraId="2800D0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48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sz w:val="24"/>
          <w:szCs w:val="24"/>
        </w:rPr>
        <w:pict>
          <v:rect id="_x0000_i1027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647650B">
      <w:pPr>
        <w:pStyle w:val="4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四、重点事故应急处置流程</w:t>
      </w:r>
    </w:p>
    <w:p w14:paraId="6379E7BF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（一）化学品泄漏事故</w:t>
      </w:r>
    </w:p>
    <w:p w14:paraId="0E9665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94949"/>
          <w:spacing w:val="0"/>
          <w:u w:val="none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94949"/>
          <w:spacing w:val="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3091180" cy="3026410"/>
            <wp:effectExtent l="0" t="0" r="13970" b="2540"/>
            <wp:docPr id="1" name="图片 1" descr="deepseek_mermaid_20250605_ba9f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epseek_mermaid_20250605_ba9ff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118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4D0FF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（二）火灾事故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5"/>
        <w:gridCol w:w="4040"/>
        <w:gridCol w:w="2720"/>
      </w:tblGrid>
      <w:tr w14:paraId="55E5F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40FC4BB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火源类型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132B37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扑救方式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D7ACB8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禁止行为</w:t>
            </w:r>
          </w:p>
        </w:tc>
      </w:tr>
      <w:tr w14:paraId="4D2F1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0A3FDC7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有机溶剂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83A2F1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CO₂灭火器、灭火毯覆盖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F9384A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用水扑救（扩大蔓延）</w:t>
            </w:r>
          </w:p>
        </w:tc>
      </w:tr>
      <w:tr w14:paraId="530AC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74B7B09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金属/电器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1D0520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干粉灭火器、切断电源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3F5430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泡沫灭火器（导电触电）</w:t>
            </w:r>
          </w:p>
        </w:tc>
      </w:tr>
      <w:tr w14:paraId="1C568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3214E25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衣物着火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1C2615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“停躺滚”三原则，就近使用喷淋装置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9EA05E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奔跑呼救（助燃）</w:t>
            </w:r>
          </w:p>
        </w:tc>
      </w:tr>
    </w:tbl>
    <w:p w14:paraId="285610F9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（三）生物安全事件</w:t>
      </w:r>
    </w:p>
    <w:p w14:paraId="0A1D4FEC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left="720" w:right="0"/>
      </w:pPr>
      <w:r>
        <w:rPr>
          <w:rStyle w:val="9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病原微生物泄漏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23457A1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立即用0.5%次氯酸钠覆盖污染区，作用30分钟后清理</w:t>
      </w:r>
    </w:p>
    <w:p w14:paraId="52F972D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接触者隔离观察，报告疾控中心（电话：XXXX-XXXXXXX）</w:t>
      </w:r>
    </w:p>
    <w:p w14:paraId="5C535B31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left="720"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动物咬伤/抓伤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1F17001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挤压伤口排血 → 肥皂水冲洗15分钟 → 碘伏消毒 → 24小时内接种狂犬疫苗</w:t>
      </w:r>
    </w:p>
    <w:p w14:paraId="51D524ED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（四）锐器伤害</w:t>
      </w:r>
      <w:r>
        <w:drawing>
          <wp:inline distT="0" distB="0" distL="114300" distR="114300">
            <wp:extent cx="5255895" cy="904875"/>
            <wp:effectExtent l="0" t="0" r="1905" b="9525"/>
            <wp:docPr id="2" name="图片 2" descr="deepseek_mermaid_20250605_7c2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epseek_mermaid_20250605_7c24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A96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48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pict>
          <v:rect id="_x0000_i1028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2707EE8">
      <w:pPr>
        <w:pStyle w:val="4"/>
        <w:keepNext w:val="0"/>
        <w:keepLines w:val="0"/>
        <w:widowControl/>
        <w:suppressLineNumbers w:val="0"/>
        <w:shd w:val="clear" w:fill="FFFFFF"/>
        <w:ind w:left="0" w:firstLine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五、后期处置</w:t>
      </w:r>
    </w:p>
    <w:p w14:paraId="17DCB798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left="720" w:right="0"/>
      </w:pPr>
      <w:r>
        <w:rPr>
          <w:rStyle w:val="9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现场恢复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2DC5E0A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经检测无次生风险后，由专业机构清理污染现场</w:t>
      </w:r>
    </w:p>
    <w:p w14:paraId="5BFD8C95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left="720" w:right="0"/>
      </w:pPr>
      <w:r>
        <w:rPr>
          <w:rStyle w:val="9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事故调查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50B201A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  <w:jc w:val="left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安全总负责人72小时内提交《事故分析报告》，明确原因、责任及整改措施</w:t>
      </w:r>
    </w:p>
    <w:p w14:paraId="114A8D10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left="720" w:right="0"/>
      </w:pPr>
      <w:r>
        <w:rPr>
          <w:rStyle w:val="9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善后处理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</w:p>
    <w:p w14:paraId="408B7C7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心理教师介入创伤辅导，保险理赔启动，教学计划调整</w:t>
      </w:r>
    </w:p>
    <w:p w14:paraId="4F9928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48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pict>
          <v:rect id="_x0000_i1029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873AE86">
      <w:pPr>
        <w:pStyle w:val="4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六、应急保障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4"/>
        <w:gridCol w:w="5085"/>
        <w:gridCol w:w="2280"/>
      </w:tblGrid>
      <w:tr w14:paraId="4FCAE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52F5D8A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资源类型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C2211D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配置标准</w:t>
            </w:r>
          </w:p>
        </w:tc>
        <w:tc>
          <w:tcPr>
            <w:tcW w:w="0" w:type="auto"/>
            <w:tcBorders>
              <w:top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73E1C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管理要求</w:t>
            </w:r>
          </w:p>
        </w:tc>
      </w:tr>
      <w:tr w14:paraId="037EE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052EBC2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物资储备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6122C3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每实验室：急救箱1个、灭火器2具、吸附棉5kg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8D9249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每月检查，过期即换</w:t>
            </w:r>
          </w:p>
        </w:tc>
      </w:tr>
      <w:tr w14:paraId="33D93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19B9A4F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应急设施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C4F398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楼层走廊设应急喷淋器，危化品库配防爆沙箱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E8737D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季度试运行</w:t>
            </w:r>
          </w:p>
        </w:tc>
      </w:tr>
      <w:tr w14:paraId="261AD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14:paraId="453A8BE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Style w:val="9"/>
                <w:rFonts w:ascii="宋体" w:hAnsi="宋体" w:eastAsia="宋体" w:cs="宋体"/>
                <w:b/>
                <w:bCs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通讯网络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F233A60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实验室张贴紧急电话表（校医/安保/总负责人）</w:t>
            </w:r>
          </w:p>
        </w:tc>
        <w:tc>
          <w:tcPr>
            <w:tcW w:w="0" w:type="auto"/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82DF72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全员熟记</w:t>
            </w:r>
          </w:p>
        </w:tc>
      </w:tr>
    </w:tbl>
    <w:p w14:paraId="72F749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48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sz w:val="24"/>
          <w:szCs w:val="24"/>
        </w:rPr>
        <w:pict>
          <v:rect id="_x0000_i1030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2429B5E">
      <w:pPr>
        <w:pStyle w:val="4"/>
        <w:keepNext w:val="0"/>
        <w:keepLines w:val="0"/>
        <w:widowControl/>
        <w:suppressLineNumbers w:val="0"/>
        <w:shd w:val="clear" w:fill="FFFFFF"/>
        <w:ind w:left="0" w:firstLine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七、培训与演练</w:t>
      </w:r>
    </w:p>
    <w:p w14:paraId="2556D07A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left="720"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培训频次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  <w:r>
        <w:rPr>
          <w:rFonts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1.</w:t>
      </w:r>
    </w:p>
    <w:p w14:paraId="7EC46F3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新生入学：2学时安全通识教育</w:t>
      </w:r>
    </w:p>
    <w:p w14:paraId="395B09B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教师/管理员：每学期4学时专项培训（含实操考核）</w:t>
      </w:r>
    </w:p>
    <w:p w14:paraId="6FE2FD5B">
      <w:pPr>
        <w:pStyle w:val="6"/>
        <w:keepNext w:val="0"/>
        <w:keepLines w:val="0"/>
        <w:widowControl/>
        <w:suppressLineNumbers w:val="0"/>
        <w:spacing w:before="0" w:beforeAutospacing="0" w:after="60" w:afterAutospacing="0"/>
        <w:ind w:left="720"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演练要求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  <w:r>
        <w:rPr>
          <w:rFonts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.</w:t>
      </w:r>
    </w:p>
    <w:p w14:paraId="1E73825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桌面推演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：每学期1次（模拟Ⅰ级事故场景）</w:t>
      </w:r>
    </w:p>
    <w:p w14:paraId="13B3C44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1440" w:right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实战演练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：每年1次（联合消防、医院开展）</w:t>
      </w:r>
    </w:p>
    <w:p w14:paraId="20418B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0" w:afterAutospacing="0"/>
        <w:ind w:left="72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ascii="var(--ds-font-family-code)" w:hAnsi="var(--ds-font-family-code)" w:eastAsia="var(--ds-font-family-code)" w:cs="var(--ds-font-family-code)"/>
        </w:rPr>
        <w:pict>
          <v:rect id="_x0000_i1031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8CDCC73">
      <w:pPr>
        <w:pStyle w:val="4"/>
        <w:keepNext w:val="0"/>
        <w:keepLines w:val="0"/>
        <w:widowControl/>
        <w:suppressLineNumbers w:val="0"/>
        <w:shd w:val="clear" w:fill="FFFFFF"/>
        <w:ind w:left="0" w:firstLine="0"/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八、附则</w:t>
      </w:r>
    </w:p>
    <w:p w14:paraId="6B19276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72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本预案由实验室安全总负责人解释，报市教育局备案。</w:t>
      </w:r>
    </w:p>
    <w:p w14:paraId="0ABF7CD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720" w:right="0"/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版本更新周期：每2年修订1次（或重大事故后即时修订）。</w:t>
      </w:r>
    </w:p>
    <w:p w14:paraId="224EE627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泰山外国语学校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9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二〇二五年六月四日</w:t>
      </w:r>
    </w:p>
    <w:p w14:paraId="1E6F90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ar(--ds-font-family-cod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tserrat">
    <w:panose1 w:val="02000505000000020004"/>
    <w:charset w:val="00"/>
    <w:family w:val="auto"/>
    <w:pitch w:val="default"/>
    <w:sig w:usb0="8000002F" w:usb1="4000204A" w:usb2="00000000" w:usb3="00000000" w:csb0="2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agneto">
    <w:panose1 w:val="04030805050802020D02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C0D6E"/>
    <w:rsid w:val="179B3E23"/>
    <w:rsid w:val="1F5B757D"/>
    <w:rsid w:val="5C563CB7"/>
    <w:rsid w:val="7E41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2024-05-30T07:53:00Z</dcterms:created>
  <dc:creator>zhang</dc:creator>
  <cp:lastModifiedBy>7</cp:lastModifiedBy>
  <dcterms:modified xsi:type="dcterms:W3CDTF">2025-06-05T03:09:37Z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A4BCB1E20CE949029FF1EF1E55979047_12</vt:lpwstr>
  </property>
  <property fmtid="{D5CDD505-2E9C-101B-9397-08002B2CF9AE}" pid="4" name="KSOTemplateDocerSaveRecord">
    <vt:lpwstr>eyJoZGlkIjoiNmNiOWViNmQyYzg4MGY5OWEzMDk2ZDU2ZDUwOGQ5MWEiLCJ1c2VySWQiOiIyNDk2Mjg1NjIifQ==</vt:lpwstr>
  </property>
</Properties>
</file>